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F8B" w:rsidRPr="00780810" w:rsidRDefault="00814CFE">
      <w:pPr>
        <w:rPr>
          <w:b/>
          <w:sz w:val="46"/>
          <w:szCs w:val="46"/>
          <w:lang w:val="en-US"/>
        </w:rPr>
      </w:pPr>
      <w:r>
        <w:rPr>
          <w:b/>
          <w:noProof/>
          <w:sz w:val="46"/>
          <w:szCs w:val="46"/>
          <w:lang w:val="es-ES" w:eastAsia="es-ES"/>
        </w:rPr>
        <w:drawing>
          <wp:anchor distT="0" distB="0" distL="114300" distR="114300" simplePos="0" relativeHeight="251660288" behindDoc="0" locked="0" layoutInCell="1" allowOverlap="1" wp14:anchorId="359F299E" wp14:editId="360C5CE1">
            <wp:simplePos x="0" y="0"/>
            <wp:positionH relativeFrom="column">
              <wp:posOffset>5225415</wp:posOffset>
            </wp:positionH>
            <wp:positionV relativeFrom="paragraph">
              <wp:posOffset>-509270</wp:posOffset>
            </wp:positionV>
            <wp:extent cx="8286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pic:spPr>
                </pic:pic>
              </a:graphicData>
            </a:graphic>
            <wp14:sizeRelH relativeFrom="page">
              <wp14:pctWidth>0</wp14:pctWidth>
            </wp14:sizeRelH>
            <wp14:sizeRelV relativeFrom="page">
              <wp14:pctHeight>0</wp14:pctHeight>
            </wp14:sizeRelV>
          </wp:anchor>
        </w:drawing>
      </w:r>
      <w:r w:rsidR="002C2846" w:rsidRPr="00780810">
        <w:rPr>
          <w:b/>
          <w:sz w:val="46"/>
          <w:szCs w:val="46"/>
          <w:lang w:val="en-US"/>
        </w:rPr>
        <w:t xml:space="preserve">Erasmus+ </w:t>
      </w:r>
      <w:proofErr w:type="spellStart"/>
      <w:r w:rsidR="002C2846" w:rsidRPr="00780810">
        <w:rPr>
          <w:b/>
          <w:sz w:val="46"/>
          <w:szCs w:val="46"/>
          <w:lang w:val="en-US"/>
        </w:rPr>
        <w:t>mobilities</w:t>
      </w:r>
      <w:proofErr w:type="spellEnd"/>
    </w:p>
    <w:p w:rsidR="00780810" w:rsidRPr="004B7650" w:rsidRDefault="00E40784">
      <w:pPr>
        <w:rPr>
          <w:b/>
          <w:sz w:val="32"/>
          <w:szCs w:val="32"/>
          <w:lang w:val="en-US"/>
        </w:rPr>
      </w:pPr>
      <w:r w:rsidRPr="004B7650">
        <w:rPr>
          <w:b/>
          <w:sz w:val="32"/>
          <w:szCs w:val="32"/>
          <w:lang w:val="en-US"/>
        </w:rPr>
        <w:t xml:space="preserve">Huge opportunities for </w:t>
      </w:r>
      <w:r w:rsidR="00780810" w:rsidRPr="004B7650">
        <w:rPr>
          <w:b/>
          <w:sz w:val="32"/>
          <w:szCs w:val="32"/>
          <w:lang w:val="en-US"/>
        </w:rPr>
        <w:t>teachers to stu</w:t>
      </w:r>
      <w:r w:rsidRPr="004B7650">
        <w:rPr>
          <w:b/>
          <w:sz w:val="32"/>
          <w:szCs w:val="32"/>
          <w:lang w:val="en-US"/>
        </w:rPr>
        <w:t>dy at language schools</w:t>
      </w:r>
      <w:r w:rsidR="00780810" w:rsidRPr="004B7650">
        <w:rPr>
          <w:b/>
          <w:sz w:val="32"/>
          <w:szCs w:val="32"/>
          <w:lang w:val="en-US"/>
        </w:rPr>
        <w:t xml:space="preserve"> with all costs fully covered, including flights!</w:t>
      </w:r>
    </w:p>
    <w:p w:rsidR="002F61D1" w:rsidRPr="004B7650" w:rsidRDefault="002F61D1">
      <w:pPr>
        <w:rPr>
          <w:b/>
          <w:sz w:val="24"/>
          <w:szCs w:val="24"/>
          <w:lang w:val="en-US"/>
        </w:rPr>
      </w:pPr>
      <w:r w:rsidRPr="004B7650">
        <w:rPr>
          <w:sz w:val="24"/>
          <w:szCs w:val="24"/>
          <w:lang w:val="en-US"/>
        </w:rPr>
        <w:t>For many years Europe has operated a system of funding to encourage the mobility of studen</w:t>
      </w:r>
      <w:r w:rsidR="00E40784" w:rsidRPr="004B7650">
        <w:rPr>
          <w:sz w:val="24"/>
          <w:szCs w:val="24"/>
          <w:lang w:val="en-US"/>
        </w:rPr>
        <w:t>ts and, to a more limited extent</w:t>
      </w:r>
      <w:r w:rsidRPr="004B7650">
        <w:rPr>
          <w:sz w:val="24"/>
          <w:szCs w:val="24"/>
          <w:lang w:val="en-US"/>
        </w:rPr>
        <w:t xml:space="preserve">, teachers and other adults. Names such as Erasmus, Comenius, Leonardo, </w:t>
      </w:r>
      <w:proofErr w:type="spellStart"/>
      <w:r w:rsidR="00780810" w:rsidRPr="004B7650">
        <w:rPr>
          <w:sz w:val="24"/>
          <w:szCs w:val="24"/>
          <w:lang w:val="en-US"/>
        </w:rPr>
        <w:t>Grundtvig</w:t>
      </w:r>
      <w:proofErr w:type="spellEnd"/>
      <w:r w:rsidR="00780810" w:rsidRPr="004B7650">
        <w:rPr>
          <w:sz w:val="24"/>
          <w:szCs w:val="24"/>
          <w:lang w:val="en-US"/>
        </w:rPr>
        <w:t xml:space="preserve"> were all associated with separate funding streams for different sectors of education: students, teachers, vocational training and life-long learning. This has now all been brought together under the name Erasmus+.</w:t>
      </w:r>
    </w:p>
    <w:p w:rsidR="002C2846" w:rsidRPr="003F1F8B" w:rsidRDefault="002F61D1">
      <w:pPr>
        <w:rPr>
          <w:b/>
          <w:sz w:val="28"/>
          <w:szCs w:val="28"/>
          <w:lang w:val="en-US"/>
        </w:rPr>
      </w:pPr>
      <w:r>
        <w:rPr>
          <w:b/>
          <w:sz w:val="28"/>
          <w:szCs w:val="28"/>
          <w:lang w:val="en-US"/>
        </w:rPr>
        <w:t xml:space="preserve">Background, history and </w:t>
      </w:r>
      <w:r w:rsidR="00780810">
        <w:rPr>
          <w:b/>
          <w:sz w:val="28"/>
          <w:szCs w:val="28"/>
          <w:lang w:val="en-US"/>
        </w:rPr>
        <w:t xml:space="preserve">some </w:t>
      </w:r>
      <w:r>
        <w:rPr>
          <w:b/>
          <w:sz w:val="28"/>
          <w:szCs w:val="28"/>
          <w:lang w:val="en-US"/>
        </w:rPr>
        <w:t>stats</w:t>
      </w:r>
    </w:p>
    <w:p w:rsidR="002F61D1" w:rsidRPr="002F61D1" w:rsidRDefault="002F61D1">
      <w:pPr>
        <w:rPr>
          <w:sz w:val="24"/>
          <w:szCs w:val="24"/>
          <w:lang w:val="en-US"/>
        </w:rPr>
      </w:pPr>
      <w:r w:rsidRPr="002F61D1">
        <w:rPr>
          <w:sz w:val="24"/>
          <w:szCs w:val="24"/>
          <w:lang w:val="en-US"/>
        </w:rPr>
        <w:t xml:space="preserve">There is a before and after story concerning the Erasmus </w:t>
      </w:r>
      <w:proofErr w:type="spellStart"/>
      <w:r w:rsidRPr="002F61D1">
        <w:rPr>
          <w:sz w:val="24"/>
          <w:szCs w:val="24"/>
          <w:lang w:val="en-US"/>
        </w:rPr>
        <w:t>programme</w:t>
      </w:r>
      <w:proofErr w:type="spellEnd"/>
      <w:r w:rsidRPr="002F61D1">
        <w:rPr>
          <w:sz w:val="24"/>
          <w:szCs w:val="24"/>
          <w:lang w:val="en-US"/>
        </w:rPr>
        <w:t>. The crucial year of change was 2014 when the budget wa</w:t>
      </w:r>
      <w:r w:rsidR="00AB64AF">
        <w:rPr>
          <w:sz w:val="24"/>
          <w:szCs w:val="24"/>
          <w:lang w:val="en-US"/>
        </w:rPr>
        <w:t>s increased by 40</w:t>
      </w:r>
      <w:r w:rsidRPr="002F61D1">
        <w:rPr>
          <w:sz w:val="24"/>
          <w:szCs w:val="24"/>
          <w:lang w:val="en-US"/>
        </w:rPr>
        <w:t>% for the period 2014 – 2020.</w:t>
      </w:r>
    </w:p>
    <w:p w:rsidR="002C2846" w:rsidRPr="002F61D1" w:rsidRDefault="00E40784">
      <w:pPr>
        <w:rPr>
          <w:sz w:val="24"/>
          <w:szCs w:val="24"/>
          <w:lang w:val="en-US"/>
        </w:rPr>
      </w:pPr>
      <w:r>
        <w:rPr>
          <w:sz w:val="24"/>
          <w:szCs w:val="24"/>
          <w:lang w:val="en-US"/>
        </w:rPr>
        <w:t>T</w:t>
      </w:r>
      <w:r w:rsidR="00AB64AF">
        <w:rPr>
          <w:sz w:val="24"/>
          <w:szCs w:val="24"/>
          <w:lang w:val="en-US"/>
        </w:rPr>
        <w:t>he overall budget across Europe for Erasmus+ in 2014 was € 2bn and, for the complete 2014-2020 period, a staggering total of €14.7bn.</w:t>
      </w:r>
    </w:p>
    <w:p w:rsidR="00AF198B" w:rsidRDefault="00AB64AF" w:rsidP="00AF198B">
      <w:pPr>
        <w:tabs>
          <w:tab w:val="center" w:pos="4252"/>
        </w:tabs>
        <w:rPr>
          <w:sz w:val="24"/>
          <w:szCs w:val="24"/>
          <w:lang w:val="en-US"/>
        </w:rPr>
      </w:pPr>
      <w:r w:rsidRPr="00AB64AF">
        <w:rPr>
          <w:sz w:val="24"/>
          <w:szCs w:val="24"/>
          <w:lang w:val="en-US"/>
        </w:rPr>
        <w:t xml:space="preserve">In 2014, </w:t>
      </w:r>
      <w:r w:rsidR="00AF198B" w:rsidRPr="00AB64AF">
        <w:rPr>
          <w:sz w:val="24"/>
          <w:szCs w:val="24"/>
          <w:lang w:val="en-US"/>
        </w:rPr>
        <w:t>650,000 people</w:t>
      </w:r>
      <w:r w:rsidRPr="00AB64AF">
        <w:rPr>
          <w:sz w:val="24"/>
          <w:szCs w:val="24"/>
          <w:lang w:val="en-US"/>
        </w:rPr>
        <w:t xml:space="preserve"> - </w:t>
      </w:r>
      <w:r w:rsidR="00AF198B" w:rsidRPr="00AB64AF">
        <w:rPr>
          <w:sz w:val="24"/>
          <w:szCs w:val="24"/>
          <w:lang w:val="en-US"/>
        </w:rPr>
        <w:t xml:space="preserve"> stu</w:t>
      </w:r>
      <w:r w:rsidRPr="00AB64AF">
        <w:rPr>
          <w:sz w:val="24"/>
          <w:szCs w:val="24"/>
          <w:lang w:val="en-US"/>
        </w:rPr>
        <w:t xml:space="preserve">dents, teachers, administrators - </w:t>
      </w:r>
      <w:r w:rsidR="00AF198B" w:rsidRPr="00AB64AF">
        <w:rPr>
          <w:sz w:val="24"/>
          <w:szCs w:val="24"/>
          <w:lang w:val="en-US"/>
        </w:rPr>
        <w:t xml:space="preserve"> participated in </w:t>
      </w:r>
      <w:r w:rsidRPr="00AB64AF">
        <w:rPr>
          <w:sz w:val="24"/>
          <w:szCs w:val="24"/>
          <w:lang w:val="en-US"/>
        </w:rPr>
        <w:t xml:space="preserve">E+ </w:t>
      </w:r>
      <w:r w:rsidR="00AF198B" w:rsidRPr="00AB64AF">
        <w:rPr>
          <w:sz w:val="24"/>
          <w:szCs w:val="24"/>
          <w:lang w:val="en-US"/>
        </w:rPr>
        <w:t xml:space="preserve">mobility projects. 70,000 </w:t>
      </w:r>
      <w:proofErr w:type="spellStart"/>
      <w:r w:rsidR="00AF198B" w:rsidRPr="00AB64AF">
        <w:rPr>
          <w:sz w:val="24"/>
          <w:szCs w:val="24"/>
          <w:lang w:val="en-US"/>
        </w:rPr>
        <w:t>organisations</w:t>
      </w:r>
      <w:proofErr w:type="spellEnd"/>
      <w:r w:rsidRPr="00AB64AF">
        <w:rPr>
          <w:sz w:val="24"/>
          <w:szCs w:val="24"/>
          <w:lang w:val="en-US"/>
        </w:rPr>
        <w:t xml:space="preserve"> were involved in a total of</w:t>
      </w:r>
      <w:r w:rsidR="00AF198B" w:rsidRPr="00AB64AF">
        <w:rPr>
          <w:sz w:val="24"/>
          <w:szCs w:val="24"/>
          <w:lang w:val="en-US"/>
        </w:rPr>
        <w:t xml:space="preserve"> 18,000 projects.</w:t>
      </w:r>
    </w:p>
    <w:p w:rsidR="00AB64AF" w:rsidRDefault="00AB64AF" w:rsidP="00AF198B">
      <w:pPr>
        <w:tabs>
          <w:tab w:val="center" w:pos="4252"/>
        </w:tabs>
        <w:rPr>
          <w:sz w:val="24"/>
          <w:szCs w:val="24"/>
          <w:lang w:val="en-US"/>
        </w:rPr>
      </w:pPr>
      <w:r>
        <w:rPr>
          <w:sz w:val="24"/>
          <w:szCs w:val="24"/>
          <w:lang w:val="en-US"/>
        </w:rPr>
        <w:t xml:space="preserve">Even with this number of projects, many schools and teachers, even in countries such as the UK, Norway, Sweden and Germany, seem to know very little about the </w:t>
      </w:r>
      <w:proofErr w:type="spellStart"/>
      <w:r>
        <w:rPr>
          <w:sz w:val="24"/>
          <w:szCs w:val="24"/>
          <w:lang w:val="en-US"/>
        </w:rPr>
        <w:t>programme</w:t>
      </w:r>
      <w:proofErr w:type="spellEnd"/>
      <w:r>
        <w:rPr>
          <w:sz w:val="24"/>
          <w:szCs w:val="24"/>
          <w:lang w:val="en-US"/>
        </w:rPr>
        <w:t>, how it works and the benefits it can offer, especially to teachers and through them</w:t>
      </w:r>
      <w:r w:rsidR="00754488">
        <w:rPr>
          <w:sz w:val="24"/>
          <w:szCs w:val="24"/>
          <w:lang w:val="en-US"/>
        </w:rPr>
        <w:t xml:space="preserve"> </w:t>
      </w:r>
      <w:r>
        <w:rPr>
          <w:sz w:val="24"/>
          <w:szCs w:val="24"/>
          <w:lang w:val="en-US"/>
        </w:rPr>
        <w:t>to their students.</w:t>
      </w:r>
      <w:r w:rsidR="00E40784">
        <w:rPr>
          <w:sz w:val="24"/>
          <w:szCs w:val="24"/>
          <w:lang w:val="en-US"/>
        </w:rPr>
        <w:t xml:space="preserve"> </w:t>
      </w:r>
    </w:p>
    <w:p w:rsidR="00754488" w:rsidRPr="00AB64AF" w:rsidRDefault="00754488" w:rsidP="00AF198B">
      <w:pPr>
        <w:tabs>
          <w:tab w:val="center" w:pos="4252"/>
        </w:tabs>
        <w:rPr>
          <w:sz w:val="24"/>
          <w:szCs w:val="24"/>
          <w:lang w:val="en-US"/>
        </w:rPr>
      </w:pPr>
      <w:r>
        <w:rPr>
          <w:sz w:val="24"/>
          <w:szCs w:val="24"/>
          <w:lang w:val="en-US"/>
        </w:rPr>
        <w:t xml:space="preserve">I will now try to point out a few of the reasons why there are misunderstandings about the </w:t>
      </w:r>
      <w:proofErr w:type="spellStart"/>
      <w:r>
        <w:rPr>
          <w:sz w:val="24"/>
          <w:szCs w:val="24"/>
          <w:lang w:val="en-US"/>
        </w:rPr>
        <w:t>programme</w:t>
      </w:r>
      <w:proofErr w:type="spellEnd"/>
      <w:r>
        <w:rPr>
          <w:sz w:val="24"/>
          <w:szCs w:val="24"/>
          <w:lang w:val="en-US"/>
        </w:rPr>
        <w:t xml:space="preserve"> and why many teachers are not making full use of the opportunities it offers.</w:t>
      </w:r>
    </w:p>
    <w:p w:rsidR="00754488" w:rsidRDefault="003D6BA3" w:rsidP="00754488">
      <w:pPr>
        <w:tabs>
          <w:tab w:val="center" w:pos="4252"/>
        </w:tabs>
        <w:rPr>
          <w:b/>
          <w:sz w:val="28"/>
          <w:szCs w:val="28"/>
          <w:lang w:val="en-US"/>
        </w:rPr>
      </w:pPr>
      <w:r>
        <w:rPr>
          <w:b/>
          <w:sz w:val="28"/>
          <w:szCs w:val="28"/>
          <w:lang w:val="en-US"/>
        </w:rPr>
        <w:t>Myths and assumptions:</w:t>
      </w:r>
    </w:p>
    <w:p w:rsidR="003D6BA3" w:rsidRPr="00754488" w:rsidRDefault="00754488" w:rsidP="003D6BA3">
      <w:pPr>
        <w:pStyle w:val="Prrafodelista"/>
        <w:numPr>
          <w:ilvl w:val="0"/>
          <w:numId w:val="1"/>
        </w:numPr>
        <w:tabs>
          <w:tab w:val="center" w:pos="4252"/>
        </w:tabs>
        <w:rPr>
          <w:sz w:val="24"/>
          <w:szCs w:val="24"/>
          <w:lang w:val="en-US"/>
        </w:rPr>
      </w:pPr>
      <w:r>
        <w:rPr>
          <w:sz w:val="24"/>
          <w:szCs w:val="24"/>
          <w:lang w:val="en-US"/>
        </w:rPr>
        <w:t>Erasmus+ is o</w:t>
      </w:r>
      <w:r w:rsidR="003D6BA3" w:rsidRPr="00754488">
        <w:rPr>
          <w:sz w:val="24"/>
          <w:szCs w:val="24"/>
          <w:lang w:val="en-US"/>
        </w:rPr>
        <w:t>nly for students</w:t>
      </w:r>
      <w:r>
        <w:rPr>
          <w:sz w:val="24"/>
          <w:szCs w:val="24"/>
          <w:lang w:val="en-US"/>
        </w:rPr>
        <w:t xml:space="preserve">- </w:t>
      </w:r>
      <w:r w:rsidRPr="00754488">
        <w:rPr>
          <w:b/>
          <w:sz w:val="24"/>
          <w:szCs w:val="24"/>
          <w:lang w:val="en-US"/>
        </w:rPr>
        <w:t>WRONG</w:t>
      </w:r>
      <w:r>
        <w:rPr>
          <w:sz w:val="24"/>
          <w:szCs w:val="24"/>
          <w:lang w:val="en-US"/>
        </w:rPr>
        <w:t xml:space="preserve">: </w:t>
      </w:r>
      <w:r w:rsidR="003F1F8B" w:rsidRPr="00754488">
        <w:rPr>
          <w:sz w:val="24"/>
          <w:szCs w:val="24"/>
          <w:lang w:val="en-US"/>
        </w:rPr>
        <w:t xml:space="preserve"> it</w:t>
      </w:r>
      <w:r>
        <w:rPr>
          <w:sz w:val="24"/>
          <w:szCs w:val="24"/>
          <w:lang w:val="en-US"/>
        </w:rPr>
        <w:t>’</w:t>
      </w:r>
      <w:r w:rsidR="003F1F8B" w:rsidRPr="00754488">
        <w:rPr>
          <w:sz w:val="24"/>
          <w:szCs w:val="24"/>
          <w:lang w:val="en-US"/>
        </w:rPr>
        <w:t>s for students, teachers and administrative workers</w:t>
      </w:r>
      <w:r>
        <w:rPr>
          <w:sz w:val="24"/>
          <w:szCs w:val="24"/>
          <w:lang w:val="en-US"/>
        </w:rPr>
        <w:t xml:space="preserve"> in education. </w:t>
      </w:r>
    </w:p>
    <w:p w:rsidR="003D6BA3" w:rsidRPr="00754488" w:rsidRDefault="00754488" w:rsidP="003D6BA3">
      <w:pPr>
        <w:pStyle w:val="Prrafodelista"/>
        <w:numPr>
          <w:ilvl w:val="0"/>
          <w:numId w:val="1"/>
        </w:numPr>
        <w:tabs>
          <w:tab w:val="center" w:pos="4252"/>
        </w:tabs>
        <w:rPr>
          <w:sz w:val="24"/>
          <w:szCs w:val="24"/>
          <w:lang w:val="en-US"/>
        </w:rPr>
      </w:pPr>
      <w:r>
        <w:rPr>
          <w:sz w:val="24"/>
          <w:szCs w:val="24"/>
          <w:lang w:val="en-US"/>
        </w:rPr>
        <w:t>With regards teachers, it</w:t>
      </w:r>
      <w:r w:rsidR="003776B4">
        <w:rPr>
          <w:sz w:val="24"/>
          <w:szCs w:val="24"/>
          <w:lang w:val="en-US"/>
        </w:rPr>
        <w:t>’</w:t>
      </w:r>
      <w:r>
        <w:rPr>
          <w:sz w:val="24"/>
          <w:szCs w:val="24"/>
          <w:lang w:val="en-US"/>
        </w:rPr>
        <w:t>s o</w:t>
      </w:r>
      <w:r w:rsidR="003D6BA3" w:rsidRPr="00754488">
        <w:rPr>
          <w:sz w:val="24"/>
          <w:szCs w:val="24"/>
          <w:lang w:val="en-US"/>
        </w:rPr>
        <w:t xml:space="preserve">nly for language teachers </w:t>
      </w:r>
      <w:r>
        <w:rPr>
          <w:sz w:val="24"/>
          <w:szCs w:val="24"/>
          <w:lang w:val="en-US"/>
        </w:rPr>
        <w:t xml:space="preserve">and </w:t>
      </w:r>
      <w:r w:rsidR="003D6BA3" w:rsidRPr="00754488">
        <w:rPr>
          <w:sz w:val="24"/>
          <w:szCs w:val="24"/>
          <w:lang w:val="en-US"/>
        </w:rPr>
        <w:t xml:space="preserve">with </w:t>
      </w:r>
      <w:r>
        <w:rPr>
          <w:sz w:val="24"/>
          <w:szCs w:val="24"/>
          <w:lang w:val="en-US"/>
        </w:rPr>
        <w:t xml:space="preserve">a </w:t>
      </w:r>
      <w:r w:rsidR="003D6BA3" w:rsidRPr="00754488">
        <w:rPr>
          <w:sz w:val="24"/>
          <w:szCs w:val="24"/>
          <w:lang w:val="en-US"/>
        </w:rPr>
        <w:t>high level</w:t>
      </w:r>
      <w:r>
        <w:rPr>
          <w:sz w:val="24"/>
          <w:szCs w:val="24"/>
          <w:lang w:val="en-US"/>
        </w:rPr>
        <w:t xml:space="preserve">: </w:t>
      </w:r>
      <w:r w:rsidRPr="00754488">
        <w:rPr>
          <w:b/>
          <w:sz w:val="24"/>
          <w:szCs w:val="24"/>
          <w:lang w:val="en-US"/>
        </w:rPr>
        <w:t>NO</w:t>
      </w:r>
      <w:r>
        <w:rPr>
          <w:sz w:val="24"/>
          <w:szCs w:val="24"/>
          <w:lang w:val="en-US"/>
        </w:rPr>
        <w:t xml:space="preserve"> – it is </w:t>
      </w:r>
      <w:r w:rsidR="003F1F8B" w:rsidRPr="00754488">
        <w:rPr>
          <w:sz w:val="24"/>
          <w:szCs w:val="24"/>
          <w:lang w:val="en-US"/>
        </w:rPr>
        <w:t>for</w:t>
      </w:r>
      <w:r w:rsidR="003776B4">
        <w:rPr>
          <w:sz w:val="24"/>
          <w:szCs w:val="24"/>
          <w:lang w:val="en-US"/>
        </w:rPr>
        <w:t xml:space="preserve"> all</w:t>
      </w:r>
      <w:r w:rsidR="003F1F8B" w:rsidRPr="00754488">
        <w:rPr>
          <w:sz w:val="24"/>
          <w:szCs w:val="24"/>
          <w:lang w:val="en-US"/>
        </w:rPr>
        <w:t xml:space="preserve"> teachers of any subject</w:t>
      </w:r>
      <w:r w:rsidR="003776B4">
        <w:rPr>
          <w:sz w:val="24"/>
          <w:szCs w:val="24"/>
          <w:lang w:val="en-US"/>
        </w:rPr>
        <w:t>s</w:t>
      </w:r>
      <w:r w:rsidR="003F1F8B" w:rsidRPr="00754488">
        <w:rPr>
          <w:sz w:val="24"/>
          <w:szCs w:val="24"/>
          <w:lang w:val="en-US"/>
        </w:rPr>
        <w:t xml:space="preserve"> who need to teach in another language or who are involved in international projects. A </w:t>
      </w:r>
      <w:r>
        <w:rPr>
          <w:sz w:val="24"/>
          <w:szCs w:val="24"/>
          <w:lang w:val="en-US"/>
        </w:rPr>
        <w:t xml:space="preserve">teacher who is a </w:t>
      </w:r>
      <w:r w:rsidR="003F1F8B" w:rsidRPr="00754488">
        <w:rPr>
          <w:sz w:val="24"/>
          <w:szCs w:val="24"/>
          <w:lang w:val="en-US"/>
        </w:rPr>
        <w:t>beginner in a language can take a basic beginners course.</w:t>
      </w:r>
    </w:p>
    <w:p w:rsidR="003D6BA3" w:rsidRDefault="003D6BA3" w:rsidP="003D6BA3">
      <w:pPr>
        <w:pStyle w:val="Prrafodelista"/>
        <w:numPr>
          <w:ilvl w:val="0"/>
          <w:numId w:val="1"/>
        </w:numPr>
        <w:tabs>
          <w:tab w:val="center" w:pos="4252"/>
        </w:tabs>
        <w:rPr>
          <w:sz w:val="24"/>
          <w:szCs w:val="24"/>
          <w:lang w:val="en-US"/>
        </w:rPr>
      </w:pPr>
      <w:r w:rsidRPr="00754488">
        <w:rPr>
          <w:sz w:val="24"/>
          <w:szCs w:val="24"/>
          <w:lang w:val="en-US"/>
        </w:rPr>
        <w:t xml:space="preserve"> </w:t>
      </w:r>
      <w:r w:rsidR="000E28C4">
        <w:rPr>
          <w:sz w:val="24"/>
          <w:szCs w:val="24"/>
          <w:lang w:val="en-US"/>
        </w:rPr>
        <w:t>It</w:t>
      </w:r>
      <w:r w:rsidR="003776B4">
        <w:rPr>
          <w:sz w:val="24"/>
          <w:szCs w:val="24"/>
          <w:lang w:val="en-US"/>
        </w:rPr>
        <w:t>’</w:t>
      </w:r>
      <w:r w:rsidR="000E28C4">
        <w:rPr>
          <w:sz w:val="24"/>
          <w:szCs w:val="24"/>
          <w:lang w:val="en-US"/>
        </w:rPr>
        <w:t>s o</w:t>
      </w:r>
      <w:r w:rsidRPr="00754488">
        <w:rPr>
          <w:sz w:val="24"/>
          <w:szCs w:val="24"/>
          <w:lang w:val="en-US"/>
        </w:rPr>
        <w:t>nly for state sector education</w:t>
      </w:r>
      <w:r w:rsidR="000E28C4">
        <w:rPr>
          <w:sz w:val="24"/>
          <w:szCs w:val="24"/>
          <w:lang w:val="en-US"/>
        </w:rPr>
        <w:t xml:space="preserve">, not private: </w:t>
      </w:r>
      <w:r w:rsidR="000E28C4" w:rsidRPr="000E28C4">
        <w:rPr>
          <w:b/>
          <w:sz w:val="24"/>
          <w:szCs w:val="24"/>
          <w:lang w:val="en-US"/>
        </w:rPr>
        <w:t>NOT TRUE</w:t>
      </w:r>
      <w:r w:rsidR="000E28C4">
        <w:rPr>
          <w:sz w:val="24"/>
          <w:szCs w:val="24"/>
          <w:lang w:val="en-US"/>
        </w:rPr>
        <w:t xml:space="preserve"> – students, teachers and staff from private or state sectors of education can apply for </w:t>
      </w:r>
      <w:proofErr w:type="spellStart"/>
      <w:r w:rsidR="000E28C4">
        <w:rPr>
          <w:sz w:val="24"/>
          <w:szCs w:val="24"/>
          <w:lang w:val="en-US"/>
        </w:rPr>
        <w:t>programmes</w:t>
      </w:r>
      <w:proofErr w:type="spellEnd"/>
      <w:r w:rsidR="000E28C4">
        <w:rPr>
          <w:sz w:val="24"/>
          <w:szCs w:val="24"/>
          <w:lang w:val="en-US"/>
        </w:rPr>
        <w:t xml:space="preserve"> in private or state schools, universities or educational institutions. There are </w:t>
      </w:r>
      <w:r w:rsidR="000E28C4">
        <w:rPr>
          <w:sz w:val="24"/>
          <w:szCs w:val="24"/>
          <w:lang w:val="en-US"/>
        </w:rPr>
        <w:lastRenderedPageBreak/>
        <w:t xml:space="preserve">some restrictions such as University students can only get funding for mutually acceptable University </w:t>
      </w:r>
      <w:proofErr w:type="spellStart"/>
      <w:r w:rsidR="000E28C4">
        <w:rPr>
          <w:sz w:val="24"/>
          <w:szCs w:val="24"/>
          <w:lang w:val="en-US"/>
        </w:rPr>
        <w:t>programmes</w:t>
      </w:r>
      <w:proofErr w:type="spellEnd"/>
      <w:r w:rsidR="000E28C4">
        <w:rPr>
          <w:sz w:val="24"/>
          <w:szCs w:val="24"/>
          <w:lang w:val="en-US"/>
        </w:rPr>
        <w:t>.</w:t>
      </w:r>
      <w:r w:rsidR="003776B4">
        <w:rPr>
          <w:sz w:val="24"/>
          <w:szCs w:val="24"/>
          <w:lang w:val="en-US"/>
        </w:rPr>
        <w:t xml:space="preserve"> There is no discrimination against the private sector either as senders or hosting organizations.</w:t>
      </w:r>
    </w:p>
    <w:p w:rsidR="000E28C4" w:rsidRDefault="00337170" w:rsidP="000E28C4">
      <w:pPr>
        <w:pStyle w:val="Prrafodelista"/>
        <w:tabs>
          <w:tab w:val="center" w:pos="4252"/>
        </w:tabs>
        <w:rPr>
          <w:sz w:val="24"/>
          <w:szCs w:val="24"/>
          <w:lang w:val="en-US"/>
        </w:rPr>
      </w:pPr>
      <w:r>
        <w:rPr>
          <w:noProof/>
          <w:sz w:val="24"/>
          <w:szCs w:val="24"/>
          <w:lang w:val="es-ES" w:eastAsia="es-ES"/>
        </w:rPr>
        <mc:AlternateContent>
          <mc:Choice Requires="wps">
            <w:drawing>
              <wp:anchor distT="0" distB="0" distL="114300" distR="114300" simplePos="0" relativeHeight="251659264" behindDoc="1" locked="0" layoutInCell="1" allowOverlap="1" wp14:anchorId="222E1666" wp14:editId="5D1E0E50">
                <wp:simplePos x="0" y="0"/>
                <wp:positionH relativeFrom="column">
                  <wp:posOffset>310515</wp:posOffset>
                </wp:positionH>
                <wp:positionV relativeFrom="paragraph">
                  <wp:posOffset>82550</wp:posOffset>
                </wp:positionV>
                <wp:extent cx="5124450" cy="1628775"/>
                <wp:effectExtent l="0" t="0" r="19050" b="28575"/>
                <wp:wrapNone/>
                <wp:docPr id="1" name="1 Cuadro de texto"/>
                <wp:cNvGraphicFramePr/>
                <a:graphic xmlns:a="http://schemas.openxmlformats.org/drawingml/2006/main">
                  <a:graphicData uri="http://schemas.microsoft.com/office/word/2010/wordprocessingShape">
                    <wps:wsp>
                      <wps:cNvSpPr txBox="1"/>
                      <wps:spPr>
                        <a:xfrm>
                          <a:off x="0" y="0"/>
                          <a:ext cx="5124450" cy="1628775"/>
                        </a:xfrm>
                        <a:prstGeom prst="rect">
                          <a:avLst/>
                        </a:prstGeom>
                        <a:solidFill>
                          <a:srgbClr val="EDED4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8C4" w:rsidRDefault="000E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2E1666" id="_x0000_t202" coordsize="21600,21600" o:spt="202" path="m,l,21600r21600,l21600,xe">
                <v:stroke joinstyle="miter"/>
                <v:path gradientshapeok="t" o:connecttype="rect"/>
              </v:shapetype>
              <v:shape id="1 Cuadro de texto" o:spid="_x0000_s1026" type="#_x0000_t202" style="position:absolute;left:0;text-align:left;margin-left:24.45pt;margin-top:6.5pt;width:403.5pt;height:12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" fillcolor="#eded4d" strokeweight=".5pt">
                <v:textbox>
                  <w:txbxContent>
                    <w:p w:rsidR="000E28C4" w:rsidRDefault="000E28C4"/>
                  </w:txbxContent>
                </v:textbox>
              </v:shape>
            </w:pict>
          </mc:Fallback>
        </mc:AlternateContent>
      </w:r>
    </w:p>
    <w:p w:rsidR="003F1F8B" w:rsidRPr="000E28C4" w:rsidRDefault="000E28C4" w:rsidP="00337170">
      <w:pPr>
        <w:pStyle w:val="Prrafodelista"/>
        <w:tabs>
          <w:tab w:val="center" w:pos="4252"/>
        </w:tabs>
        <w:rPr>
          <w:b/>
          <w:sz w:val="28"/>
          <w:szCs w:val="28"/>
          <w:lang w:val="en-US"/>
        </w:rPr>
      </w:pPr>
      <w:r w:rsidRPr="000E28C4">
        <w:rPr>
          <w:b/>
          <w:sz w:val="28"/>
          <w:szCs w:val="28"/>
          <w:lang w:val="en-US"/>
        </w:rPr>
        <w:t>Teachers, take note!</w:t>
      </w:r>
    </w:p>
    <w:p w:rsidR="000E28C4" w:rsidRDefault="000E28C4" w:rsidP="000E28C4">
      <w:pPr>
        <w:tabs>
          <w:tab w:val="center" w:pos="4252"/>
        </w:tabs>
        <w:ind w:left="708"/>
        <w:rPr>
          <w:sz w:val="24"/>
          <w:szCs w:val="24"/>
          <w:lang w:val="en-US"/>
        </w:rPr>
      </w:pPr>
      <w:r>
        <w:rPr>
          <w:sz w:val="24"/>
          <w:szCs w:val="24"/>
          <w:lang w:val="en-US"/>
        </w:rPr>
        <w:t xml:space="preserve">Teachers of languages and any other subject can take language courses from beginner level to advanced level in </w:t>
      </w:r>
      <w:r w:rsidRPr="00337170">
        <w:rPr>
          <w:b/>
          <w:sz w:val="24"/>
          <w:szCs w:val="24"/>
          <w:lang w:val="en-US"/>
        </w:rPr>
        <w:t>expert private sector language schools</w:t>
      </w:r>
      <w:r>
        <w:rPr>
          <w:sz w:val="24"/>
          <w:szCs w:val="24"/>
          <w:lang w:val="en-US"/>
        </w:rPr>
        <w:t xml:space="preserve"> in the EU. Everything is paid for: flights, course, accommodation and food. </w:t>
      </w:r>
      <w:proofErr w:type="spellStart"/>
      <w:r>
        <w:rPr>
          <w:sz w:val="24"/>
          <w:szCs w:val="24"/>
          <w:lang w:val="en-US"/>
        </w:rPr>
        <w:t>Programmes</w:t>
      </w:r>
      <w:proofErr w:type="spellEnd"/>
      <w:r>
        <w:rPr>
          <w:sz w:val="24"/>
          <w:szCs w:val="24"/>
          <w:lang w:val="en-US"/>
        </w:rPr>
        <w:t xml:space="preserve"> can be from 1-8 </w:t>
      </w:r>
      <w:proofErr w:type="gramStart"/>
      <w:r>
        <w:rPr>
          <w:sz w:val="24"/>
          <w:szCs w:val="24"/>
          <w:lang w:val="en-US"/>
        </w:rPr>
        <w:t>weeks</w:t>
      </w:r>
      <w:proofErr w:type="gramEnd"/>
      <w:r>
        <w:rPr>
          <w:sz w:val="24"/>
          <w:szCs w:val="24"/>
          <w:lang w:val="en-US"/>
        </w:rPr>
        <w:t xml:space="preserve"> duration and can be taken repeatedly in consecutive years to enable teachers to make considerable linguistic progress. </w:t>
      </w:r>
    </w:p>
    <w:p w:rsidR="003F1F8B" w:rsidRDefault="003F1F8B" w:rsidP="003F1F8B">
      <w:pPr>
        <w:tabs>
          <w:tab w:val="center" w:pos="4252"/>
        </w:tabs>
        <w:rPr>
          <w:b/>
          <w:sz w:val="28"/>
          <w:szCs w:val="28"/>
          <w:lang w:val="en-US"/>
        </w:rPr>
      </w:pPr>
      <w:r w:rsidRPr="00337170">
        <w:rPr>
          <w:b/>
          <w:sz w:val="28"/>
          <w:szCs w:val="28"/>
          <w:lang w:val="en-US"/>
        </w:rPr>
        <w:t>How it works</w:t>
      </w:r>
    </w:p>
    <w:p w:rsidR="00337170" w:rsidRDefault="00337170" w:rsidP="003F1F8B">
      <w:pPr>
        <w:tabs>
          <w:tab w:val="center" w:pos="4252"/>
        </w:tabs>
        <w:rPr>
          <w:sz w:val="24"/>
          <w:szCs w:val="24"/>
          <w:lang w:val="en-US"/>
        </w:rPr>
      </w:pPr>
      <w:r w:rsidRPr="00B748B3">
        <w:rPr>
          <w:sz w:val="24"/>
          <w:szCs w:val="24"/>
          <w:lang w:val="en-US"/>
        </w:rPr>
        <w:t>Individual teachers</w:t>
      </w:r>
      <w:r w:rsidR="00B748B3">
        <w:rPr>
          <w:sz w:val="24"/>
          <w:szCs w:val="24"/>
          <w:lang w:val="en-US"/>
        </w:rPr>
        <w:t xml:space="preserve"> </w:t>
      </w:r>
      <w:r w:rsidRPr="00B748B3">
        <w:rPr>
          <w:sz w:val="24"/>
          <w:szCs w:val="24"/>
          <w:lang w:val="en-US"/>
        </w:rPr>
        <w:t xml:space="preserve">can no longer apply. Applications must be made by the sending school’s management, either the head teacher or a nominated department head or project manager. This person has to create a 2-year training </w:t>
      </w:r>
      <w:proofErr w:type="spellStart"/>
      <w:r w:rsidRPr="00B748B3">
        <w:rPr>
          <w:sz w:val="24"/>
          <w:szCs w:val="24"/>
          <w:lang w:val="en-US"/>
        </w:rPr>
        <w:t>programme</w:t>
      </w:r>
      <w:proofErr w:type="spellEnd"/>
      <w:r w:rsidRPr="00B748B3">
        <w:rPr>
          <w:sz w:val="24"/>
          <w:szCs w:val="24"/>
          <w:lang w:val="en-US"/>
        </w:rPr>
        <w:t xml:space="preserve"> to include, and explain and justify the inclusion, of all staff that the school wishes to send on a language course (mobility </w:t>
      </w:r>
      <w:proofErr w:type="spellStart"/>
      <w:r w:rsidRPr="00B748B3">
        <w:rPr>
          <w:sz w:val="24"/>
          <w:szCs w:val="24"/>
          <w:lang w:val="en-US"/>
        </w:rPr>
        <w:t>programme</w:t>
      </w:r>
      <w:proofErr w:type="spellEnd"/>
      <w:r w:rsidRPr="00B748B3">
        <w:rPr>
          <w:sz w:val="24"/>
          <w:szCs w:val="24"/>
          <w:lang w:val="en-US"/>
        </w:rPr>
        <w:t xml:space="preserve">).  This training </w:t>
      </w:r>
      <w:proofErr w:type="spellStart"/>
      <w:r w:rsidRPr="00B748B3">
        <w:rPr>
          <w:sz w:val="24"/>
          <w:szCs w:val="24"/>
          <w:lang w:val="en-US"/>
        </w:rPr>
        <w:t>programme</w:t>
      </w:r>
      <w:proofErr w:type="spellEnd"/>
      <w:r w:rsidRPr="00B748B3">
        <w:rPr>
          <w:sz w:val="24"/>
          <w:szCs w:val="24"/>
          <w:lang w:val="en-US"/>
        </w:rPr>
        <w:t xml:space="preserve"> must be i</w:t>
      </w:r>
      <w:r w:rsidR="00A7375A">
        <w:rPr>
          <w:sz w:val="24"/>
          <w:szCs w:val="24"/>
          <w:lang w:val="en-US"/>
        </w:rPr>
        <w:t xml:space="preserve">n line </w:t>
      </w:r>
      <w:proofErr w:type="gramStart"/>
      <w:r w:rsidR="00A7375A">
        <w:rPr>
          <w:sz w:val="24"/>
          <w:szCs w:val="24"/>
          <w:lang w:val="en-US"/>
        </w:rPr>
        <w:t xml:space="preserve">with </w:t>
      </w:r>
      <w:r w:rsidRPr="00B748B3">
        <w:rPr>
          <w:sz w:val="24"/>
          <w:szCs w:val="24"/>
          <w:lang w:val="en-US"/>
        </w:rPr>
        <w:t xml:space="preserve"> Erasmus</w:t>
      </w:r>
      <w:proofErr w:type="gramEnd"/>
      <w:r w:rsidRPr="00B748B3">
        <w:rPr>
          <w:sz w:val="24"/>
          <w:szCs w:val="24"/>
          <w:lang w:val="en-US"/>
        </w:rPr>
        <w:t>+ priorities and, most importantly</w:t>
      </w:r>
      <w:r w:rsidR="00B748B3">
        <w:rPr>
          <w:sz w:val="24"/>
          <w:szCs w:val="24"/>
          <w:lang w:val="en-US"/>
        </w:rPr>
        <w:t>,</w:t>
      </w:r>
      <w:r w:rsidRPr="00B748B3">
        <w:rPr>
          <w:sz w:val="24"/>
          <w:szCs w:val="24"/>
          <w:lang w:val="en-US"/>
        </w:rPr>
        <w:t xml:space="preserve"> the stated medium and long-term objectives of the sending schools.</w:t>
      </w:r>
    </w:p>
    <w:p w:rsidR="00B748B3" w:rsidRDefault="00B748B3" w:rsidP="003F1F8B">
      <w:pPr>
        <w:tabs>
          <w:tab w:val="center" w:pos="4252"/>
        </w:tabs>
        <w:rPr>
          <w:sz w:val="24"/>
          <w:szCs w:val="24"/>
          <w:lang w:val="en-US"/>
        </w:rPr>
      </w:pPr>
      <w:r>
        <w:rPr>
          <w:sz w:val="24"/>
          <w:szCs w:val="24"/>
          <w:lang w:val="en-US"/>
        </w:rPr>
        <w:t>There is a Europe-wide call for project applications each year with a closing deadline around the end of January. Projects are then given approval (or not) by May/June of the same year and projects can start within a few days.</w:t>
      </w:r>
    </w:p>
    <w:p w:rsidR="00B748B3" w:rsidRPr="00B748B3" w:rsidRDefault="00B748B3" w:rsidP="003F1F8B">
      <w:pPr>
        <w:tabs>
          <w:tab w:val="center" w:pos="4252"/>
        </w:tabs>
        <w:rPr>
          <w:sz w:val="24"/>
          <w:szCs w:val="24"/>
          <w:lang w:val="en-US"/>
        </w:rPr>
      </w:pPr>
      <w:r>
        <w:rPr>
          <w:sz w:val="24"/>
          <w:szCs w:val="24"/>
          <w:lang w:val="en-US"/>
        </w:rPr>
        <w:t xml:space="preserve">The paperwork is fairly complicated and schools can miss out on gaining funding by ticking a wrong box or using incorrect terminology. This is where </w:t>
      </w:r>
      <w:r w:rsidRPr="00B748B3">
        <w:rPr>
          <w:b/>
          <w:sz w:val="24"/>
          <w:szCs w:val="24"/>
          <w:lang w:val="en-US"/>
        </w:rPr>
        <w:t>educational consultants</w:t>
      </w:r>
      <w:r>
        <w:rPr>
          <w:sz w:val="24"/>
          <w:szCs w:val="24"/>
          <w:lang w:val="en-US"/>
        </w:rPr>
        <w:t>, expert in the presentation of Erasmus+ applications, can help overloaded head teachers in the preparation of applications and give them a much higher chance of gaining funding for their teachers.</w:t>
      </w:r>
    </w:p>
    <w:p w:rsidR="003F1F8B" w:rsidRPr="00637BAD" w:rsidRDefault="00780810" w:rsidP="003F1F8B">
      <w:pPr>
        <w:tabs>
          <w:tab w:val="center" w:pos="4252"/>
        </w:tabs>
        <w:rPr>
          <w:b/>
          <w:sz w:val="28"/>
          <w:szCs w:val="28"/>
          <w:lang w:val="en-US"/>
        </w:rPr>
      </w:pPr>
      <w:r w:rsidRPr="00637BAD">
        <w:rPr>
          <w:b/>
          <w:sz w:val="28"/>
          <w:szCs w:val="28"/>
          <w:lang w:val="en-US"/>
        </w:rPr>
        <w:t>What it covers</w:t>
      </w:r>
    </w:p>
    <w:p w:rsidR="00B748B3" w:rsidRPr="00637BAD" w:rsidRDefault="00B748B3" w:rsidP="003F1F8B">
      <w:pPr>
        <w:tabs>
          <w:tab w:val="center" w:pos="4252"/>
        </w:tabs>
        <w:rPr>
          <w:sz w:val="24"/>
          <w:szCs w:val="24"/>
          <w:lang w:val="en-US"/>
        </w:rPr>
      </w:pPr>
      <w:r w:rsidRPr="00637BAD">
        <w:rPr>
          <w:sz w:val="24"/>
          <w:szCs w:val="24"/>
          <w:lang w:val="en-US"/>
        </w:rPr>
        <w:t>The Key Action 1 mobility funding for Teachers is quite generous and covers all aspects of the actual stay:</w:t>
      </w:r>
    </w:p>
    <w:p w:rsidR="00B748B3" w:rsidRPr="00637BAD" w:rsidRDefault="00B748B3" w:rsidP="00B748B3">
      <w:pPr>
        <w:pStyle w:val="Prrafodelista"/>
        <w:numPr>
          <w:ilvl w:val="0"/>
          <w:numId w:val="2"/>
        </w:numPr>
        <w:tabs>
          <w:tab w:val="center" w:pos="4252"/>
        </w:tabs>
        <w:rPr>
          <w:sz w:val="24"/>
          <w:szCs w:val="24"/>
          <w:lang w:val="en-US"/>
        </w:rPr>
      </w:pPr>
      <w:r w:rsidRPr="00637BAD">
        <w:rPr>
          <w:sz w:val="24"/>
          <w:szCs w:val="24"/>
          <w:lang w:val="en-US"/>
        </w:rPr>
        <w:t>Flights and other transport costs</w:t>
      </w:r>
    </w:p>
    <w:p w:rsidR="00B748B3" w:rsidRPr="00637BAD" w:rsidRDefault="00B748B3" w:rsidP="00B748B3">
      <w:pPr>
        <w:pStyle w:val="Prrafodelista"/>
        <w:numPr>
          <w:ilvl w:val="0"/>
          <w:numId w:val="2"/>
        </w:numPr>
        <w:tabs>
          <w:tab w:val="center" w:pos="4252"/>
        </w:tabs>
        <w:rPr>
          <w:sz w:val="24"/>
          <w:szCs w:val="24"/>
          <w:lang w:val="en-US"/>
        </w:rPr>
      </w:pPr>
      <w:r w:rsidRPr="00637BAD">
        <w:rPr>
          <w:sz w:val="24"/>
          <w:szCs w:val="24"/>
          <w:lang w:val="en-US"/>
        </w:rPr>
        <w:t>Comfortable accommodation</w:t>
      </w:r>
    </w:p>
    <w:p w:rsidR="00B748B3" w:rsidRPr="00637BAD" w:rsidRDefault="00B748B3" w:rsidP="00B748B3">
      <w:pPr>
        <w:pStyle w:val="Prrafodelista"/>
        <w:numPr>
          <w:ilvl w:val="0"/>
          <w:numId w:val="2"/>
        </w:numPr>
        <w:tabs>
          <w:tab w:val="center" w:pos="4252"/>
        </w:tabs>
        <w:rPr>
          <w:sz w:val="24"/>
          <w:szCs w:val="24"/>
          <w:lang w:val="en-US"/>
        </w:rPr>
      </w:pPr>
      <w:r w:rsidRPr="00637BAD">
        <w:rPr>
          <w:sz w:val="24"/>
          <w:szCs w:val="24"/>
          <w:lang w:val="en-US"/>
        </w:rPr>
        <w:t>Meals</w:t>
      </w:r>
    </w:p>
    <w:p w:rsidR="00637BAD" w:rsidRDefault="00637BAD" w:rsidP="00B748B3">
      <w:pPr>
        <w:pStyle w:val="Prrafodelista"/>
        <w:numPr>
          <w:ilvl w:val="0"/>
          <w:numId w:val="2"/>
        </w:numPr>
        <w:tabs>
          <w:tab w:val="center" w:pos="4252"/>
        </w:tabs>
        <w:rPr>
          <w:sz w:val="24"/>
          <w:szCs w:val="24"/>
          <w:lang w:val="en-US"/>
        </w:rPr>
      </w:pPr>
      <w:r w:rsidRPr="00637BAD">
        <w:rPr>
          <w:sz w:val="24"/>
          <w:szCs w:val="24"/>
          <w:lang w:val="en-US"/>
        </w:rPr>
        <w:t>Language course</w:t>
      </w:r>
      <w:r>
        <w:rPr>
          <w:sz w:val="24"/>
          <w:szCs w:val="24"/>
          <w:lang w:val="en-US"/>
        </w:rPr>
        <w:t xml:space="preserve">: anything from beginner to </w:t>
      </w:r>
      <w:proofErr w:type="spellStart"/>
      <w:r>
        <w:rPr>
          <w:sz w:val="24"/>
          <w:szCs w:val="24"/>
          <w:lang w:val="en-US"/>
        </w:rPr>
        <w:t>advanced</w:t>
      </w:r>
      <w:proofErr w:type="spellEnd"/>
      <w:r>
        <w:rPr>
          <w:sz w:val="24"/>
          <w:szCs w:val="24"/>
          <w:lang w:val="en-US"/>
        </w:rPr>
        <w:t xml:space="preserve"> with the optional possibility of methodology lessons, shadowing in local schools and other types of teacher contact.</w:t>
      </w:r>
    </w:p>
    <w:p w:rsidR="00B748B3" w:rsidRPr="00637BAD" w:rsidRDefault="00637BAD" w:rsidP="00B748B3">
      <w:pPr>
        <w:pStyle w:val="Prrafodelista"/>
        <w:numPr>
          <w:ilvl w:val="0"/>
          <w:numId w:val="2"/>
        </w:numPr>
        <w:tabs>
          <w:tab w:val="center" w:pos="4252"/>
        </w:tabs>
        <w:rPr>
          <w:sz w:val="24"/>
          <w:szCs w:val="24"/>
          <w:lang w:val="en-US"/>
        </w:rPr>
      </w:pPr>
      <w:r>
        <w:rPr>
          <w:sz w:val="24"/>
          <w:szCs w:val="24"/>
          <w:lang w:val="en-US"/>
        </w:rPr>
        <w:lastRenderedPageBreak/>
        <w:t xml:space="preserve">Cultural lessons and activities: if wanted, teachers may choose a </w:t>
      </w:r>
      <w:proofErr w:type="spellStart"/>
      <w:r>
        <w:rPr>
          <w:sz w:val="24"/>
          <w:szCs w:val="24"/>
          <w:lang w:val="en-US"/>
        </w:rPr>
        <w:t>programme</w:t>
      </w:r>
      <w:proofErr w:type="spellEnd"/>
      <w:r>
        <w:rPr>
          <w:sz w:val="24"/>
          <w:szCs w:val="24"/>
          <w:lang w:val="en-US"/>
        </w:rPr>
        <w:t xml:space="preserve"> which combines language with specific areas of culture which can be of specific and direct use in their classrooms to enhance the students’ learning experiences and outcomes, </w:t>
      </w:r>
      <w:proofErr w:type="spellStart"/>
      <w:r>
        <w:rPr>
          <w:sz w:val="24"/>
          <w:szCs w:val="24"/>
          <w:lang w:val="en-US"/>
        </w:rPr>
        <w:t>eg</w:t>
      </w:r>
      <w:proofErr w:type="spellEnd"/>
      <w:r>
        <w:rPr>
          <w:sz w:val="24"/>
          <w:szCs w:val="24"/>
          <w:lang w:val="en-US"/>
        </w:rPr>
        <w:t xml:space="preserve">. Dance lessons, cookery lessons </w:t>
      </w:r>
      <w:proofErr w:type="spellStart"/>
      <w:r>
        <w:rPr>
          <w:sz w:val="24"/>
          <w:szCs w:val="24"/>
          <w:lang w:val="en-US"/>
        </w:rPr>
        <w:t>etc</w:t>
      </w:r>
      <w:proofErr w:type="spellEnd"/>
      <w:r w:rsidRPr="00637BAD">
        <w:rPr>
          <w:sz w:val="24"/>
          <w:szCs w:val="24"/>
          <w:lang w:val="en-US"/>
        </w:rPr>
        <w:t xml:space="preserve"> </w:t>
      </w:r>
    </w:p>
    <w:p w:rsidR="003F1F8B" w:rsidRPr="00637BAD" w:rsidRDefault="003F1F8B" w:rsidP="003F1F8B">
      <w:pPr>
        <w:tabs>
          <w:tab w:val="center" w:pos="4252"/>
        </w:tabs>
        <w:rPr>
          <w:b/>
          <w:sz w:val="28"/>
          <w:szCs w:val="28"/>
          <w:lang w:val="en-US"/>
        </w:rPr>
      </w:pPr>
      <w:r w:rsidRPr="00637BAD">
        <w:rPr>
          <w:b/>
          <w:sz w:val="28"/>
          <w:szCs w:val="28"/>
          <w:lang w:val="en-US"/>
        </w:rPr>
        <w:t>Typical cases</w:t>
      </w:r>
    </w:p>
    <w:p w:rsidR="00637BAD" w:rsidRDefault="00594A0C" w:rsidP="003F1F8B">
      <w:pPr>
        <w:tabs>
          <w:tab w:val="center" w:pos="4252"/>
        </w:tabs>
        <w:rPr>
          <w:sz w:val="24"/>
          <w:szCs w:val="24"/>
          <w:lang w:val="en-US"/>
        </w:rPr>
      </w:pPr>
      <w:r>
        <w:rPr>
          <w:sz w:val="24"/>
          <w:szCs w:val="24"/>
          <w:lang w:val="en-US"/>
        </w:rPr>
        <w:t>Across Europe, the following are typical of the types of application that can be successfully justified and presented:</w:t>
      </w:r>
    </w:p>
    <w:p w:rsidR="00594A0C" w:rsidRDefault="00594A0C" w:rsidP="00594A0C">
      <w:pPr>
        <w:pStyle w:val="Prrafodelista"/>
        <w:numPr>
          <w:ilvl w:val="0"/>
          <w:numId w:val="3"/>
        </w:numPr>
        <w:tabs>
          <w:tab w:val="center" w:pos="4252"/>
        </w:tabs>
        <w:rPr>
          <w:sz w:val="24"/>
          <w:szCs w:val="24"/>
          <w:lang w:val="en-US"/>
        </w:rPr>
      </w:pPr>
      <w:r w:rsidRPr="00594A0C">
        <w:rPr>
          <w:b/>
          <w:sz w:val="24"/>
          <w:szCs w:val="24"/>
          <w:lang w:val="en-US"/>
        </w:rPr>
        <w:t>Switch training:</w:t>
      </w:r>
      <w:r>
        <w:rPr>
          <w:sz w:val="24"/>
          <w:szCs w:val="24"/>
          <w:lang w:val="en-US"/>
        </w:rPr>
        <w:t xml:space="preserve"> secondary schools finding a declining demand for French and increasing demand for Spanish can apply for their French teachers to take Spanish language courses so that they can begin to teach Spanish in the future.</w:t>
      </w:r>
    </w:p>
    <w:p w:rsidR="00594A0C" w:rsidRDefault="00594A0C" w:rsidP="00594A0C">
      <w:pPr>
        <w:pStyle w:val="Prrafodelista"/>
        <w:numPr>
          <w:ilvl w:val="0"/>
          <w:numId w:val="3"/>
        </w:numPr>
        <w:tabs>
          <w:tab w:val="center" w:pos="4252"/>
        </w:tabs>
        <w:rPr>
          <w:sz w:val="24"/>
          <w:szCs w:val="24"/>
          <w:lang w:val="en-US"/>
        </w:rPr>
      </w:pPr>
      <w:r w:rsidRPr="00594A0C">
        <w:rPr>
          <w:b/>
          <w:sz w:val="24"/>
          <w:szCs w:val="24"/>
          <w:lang w:val="en-US"/>
        </w:rPr>
        <w:t>Non-native speaker language teachers:</w:t>
      </w:r>
      <w:r>
        <w:rPr>
          <w:sz w:val="24"/>
          <w:szCs w:val="24"/>
          <w:lang w:val="en-US"/>
        </w:rPr>
        <w:t xml:space="preserve"> advanced language courses combine</w:t>
      </w:r>
      <w:r w:rsidR="00A7375A">
        <w:rPr>
          <w:sz w:val="24"/>
          <w:szCs w:val="24"/>
          <w:lang w:val="en-US"/>
        </w:rPr>
        <w:t>d</w:t>
      </w:r>
      <w:r>
        <w:rPr>
          <w:sz w:val="24"/>
          <w:szCs w:val="24"/>
          <w:lang w:val="en-US"/>
        </w:rPr>
        <w:t xml:space="preserve"> with methodology lessons or teacher observations.</w:t>
      </w:r>
    </w:p>
    <w:p w:rsidR="00594A0C" w:rsidRDefault="00594A0C" w:rsidP="00594A0C">
      <w:pPr>
        <w:pStyle w:val="Prrafodelista"/>
        <w:numPr>
          <w:ilvl w:val="0"/>
          <w:numId w:val="3"/>
        </w:numPr>
        <w:tabs>
          <w:tab w:val="center" w:pos="4252"/>
        </w:tabs>
        <w:rPr>
          <w:sz w:val="24"/>
          <w:szCs w:val="24"/>
          <w:lang w:val="en-US"/>
        </w:rPr>
      </w:pPr>
      <w:r>
        <w:rPr>
          <w:b/>
          <w:sz w:val="24"/>
          <w:szCs w:val="24"/>
          <w:lang w:val="en-US"/>
        </w:rPr>
        <w:t xml:space="preserve">Language courses for CLIL: </w:t>
      </w:r>
      <w:r w:rsidRPr="00B8089A">
        <w:rPr>
          <w:sz w:val="24"/>
          <w:szCs w:val="24"/>
          <w:lang w:val="en-US"/>
        </w:rPr>
        <w:t xml:space="preserve">teachers of other subjects in bi-lingual, International and IB schools needing to teach </w:t>
      </w:r>
      <w:r w:rsidR="00A7375A">
        <w:rPr>
          <w:sz w:val="24"/>
          <w:szCs w:val="24"/>
          <w:lang w:val="en-US"/>
        </w:rPr>
        <w:t>their</w:t>
      </w:r>
      <w:r w:rsidR="00B8089A" w:rsidRPr="00B8089A">
        <w:rPr>
          <w:sz w:val="24"/>
          <w:szCs w:val="24"/>
          <w:lang w:val="en-US"/>
        </w:rPr>
        <w:t xml:space="preserve"> subjects </w:t>
      </w:r>
      <w:r w:rsidR="00B8089A" w:rsidRPr="00B8089A">
        <w:rPr>
          <w:b/>
          <w:sz w:val="24"/>
          <w:szCs w:val="24"/>
          <w:lang w:val="en-US"/>
        </w:rPr>
        <w:t>in</w:t>
      </w:r>
      <w:r w:rsidR="00B8089A" w:rsidRPr="00B8089A">
        <w:rPr>
          <w:sz w:val="24"/>
          <w:szCs w:val="24"/>
          <w:lang w:val="en-US"/>
        </w:rPr>
        <w:t xml:space="preserve"> Spanish or French.</w:t>
      </w:r>
    </w:p>
    <w:p w:rsidR="00637BAD" w:rsidRDefault="00B8089A" w:rsidP="003F1F8B">
      <w:pPr>
        <w:pStyle w:val="Prrafodelista"/>
        <w:numPr>
          <w:ilvl w:val="0"/>
          <w:numId w:val="3"/>
        </w:numPr>
        <w:tabs>
          <w:tab w:val="center" w:pos="4252"/>
        </w:tabs>
        <w:rPr>
          <w:sz w:val="24"/>
          <w:szCs w:val="24"/>
          <w:lang w:val="en-US"/>
        </w:rPr>
      </w:pPr>
      <w:r w:rsidRPr="00B8089A">
        <w:rPr>
          <w:b/>
          <w:sz w:val="24"/>
          <w:szCs w:val="24"/>
          <w:lang w:val="en-US"/>
        </w:rPr>
        <w:t xml:space="preserve">Drama or Dance Teachers: </w:t>
      </w:r>
      <w:r w:rsidRPr="00B8089A">
        <w:rPr>
          <w:sz w:val="24"/>
          <w:szCs w:val="24"/>
          <w:lang w:val="en-US"/>
        </w:rPr>
        <w:t xml:space="preserve">they can combine Flamenco or Salsa classes with general Spanish </w:t>
      </w:r>
      <w:r>
        <w:rPr>
          <w:sz w:val="24"/>
          <w:szCs w:val="24"/>
          <w:lang w:val="en-US"/>
        </w:rPr>
        <w:t>- this gives then enhanced skills and cultural understanding which they can pass on to their students.</w:t>
      </w:r>
    </w:p>
    <w:p w:rsidR="00B8089A" w:rsidRPr="00B8089A" w:rsidRDefault="00B8089A" w:rsidP="003F1F8B">
      <w:pPr>
        <w:pStyle w:val="Prrafodelista"/>
        <w:numPr>
          <w:ilvl w:val="0"/>
          <w:numId w:val="3"/>
        </w:numPr>
        <w:tabs>
          <w:tab w:val="center" w:pos="4252"/>
        </w:tabs>
        <w:rPr>
          <w:sz w:val="24"/>
          <w:szCs w:val="24"/>
          <w:lang w:val="en-US"/>
        </w:rPr>
      </w:pPr>
      <w:proofErr w:type="spellStart"/>
      <w:r>
        <w:rPr>
          <w:b/>
          <w:sz w:val="24"/>
          <w:szCs w:val="24"/>
          <w:lang w:val="en-US"/>
        </w:rPr>
        <w:t>Adminstrative</w:t>
      </w:r>
      <w:proofErr w:type="spellEnd"/>
      <w:r>
        <w:rPr>
          <w:b/>
          <w:sz w:val="24"/>
          <w:szCs w:val="24"/>
          <w:lang w:val="en-US"/>
        </w:rPr>
        <w:t xml:space="preserve"> staff:</w:t>
      </w:r>
      <w:r>
        <w:rPr>
          <w:sz w:val="24"/>
          <w:szCs w:val="24"/>
          <w:lang w:val="en-US"/>
        </w:rPr>
        <w:t xml:space="preserve"> any staff involved in international projects, exchanges </w:t>
      </w:r>
      <w:proofErr w:type="spellStart"/>
      <w:r>
        <w:rPr>
          <w:sz w:val="24"/>
          <w:szCs w:val="24"/>
          <w:lang w:val="en-US"/>
        </w:rPr>
        <w:t>etc</w:t>
      </w:r>
      <w:proofErr w:type="spellEnd"/>
      <w:r>
        <w:rPr>
          <w:sz w:val="24"/>
          <w:szCs w:val="24"/>
          <w:lang w:val="en-US"/>
        </w:rPr>
        <w:t xml:space="preserve"> or dealing with multi-cultural/lingual students can justify applying for language courses.  </w:t>
      </w:r>
    </w:p>
    <w:p w:rsidR="003F1F8B" w:rsidRDefault="003F1F8B" w:rsidP="003F1F8B">
      <w:pPr>
        <w:tabs>
          <w:tab w:val="center" w:pos="4252"/>
        </w:tabs>
        <w:rPr>
          <w:b/>
          <w:sz w:val="24"/>
          <w:szCs w:val="24"/>
          <w:lang w:val="en-US"/>
        </w:rPr>
      </w:pPr>
      <w:r w:rsidRPr="00B8089A">
        <w:rPr>
          <w:b/>
          <w:sz w:val="24"/>
          <w:szCs w:val="24"/>
          <w:lang w:val="en-US"/>
        </w:rPr>
        <w:t>Benefits</w:t>
      </w:r>
    </w:p>
    <w:p w:rsidR="00B8089A" w:rsidRDefault="00B8089A" w:rsidP="003F1F8B">
      <w:pPr>
        <w:tabs>
          <w:tab w:val="center" w:pos="4252"/>
        </w:tabs>
        <w:rPr>
          <w:sz w:val="24"/>
          <w:szCs w:val="24"/>
          <w:lang w:val="en-US"/>
        </w:rPr>
      </w:pPr>
      <w:r w:rsidRPr="00A9246B">
        <w:rPr>
          <w:sz w:val="24"/>
          <w:szCs w:val="24"/>
          <w:lang w:val="en-US"/>
        </w:rPr>
        <w:t xml:space="preserve">By enabling teachers to improve and enhance their skill levels and to become more relevant to the changing demand of their student body, the Erasmus+ </w:t>
      </w:r>
      <w:proofErr w:type="spellStart"/>
      <w:r w:rsidRPr="00A9246B">
        <w:rPr>
          <w:sz w:val="24"/>
          <w:szCs w:val="24"/>
          <w:lang w:val="en-US"/>
        </w:rPr>
        <w:t>programme</w:t>
      </w:r>
      <w:proofErr w:type="spellEnd"/>
      <w:r w:rsidRPr="00A9246B">
        <w:rPr>
          <w:sz w:val="24"/>
          <w:szCs w:val="24"/>
          <w:lang w:val="en-US"/>
        </w:rPr>
        <w:t xml:space="preserve"> aims to improve student outcomes across Europe. </w:t>
      </w:r>
      <w:r w:rsidR="00A9246B" w:rsidRPr="00A9246B">
        <w:rPr>
          <w:sz w:val="24"/>
          <w:szCs w:val="24"/>
          <w:lang w:val="en-US"/>
        </w:rPr>
        <w:t>Te</w:t>
      </w:r>
      <w:r w:rsidR="00A7375A">
        <w:rPr>
          <w:sz w:val="24"/>
          <w:szCs w:val="24"/>
          <w:lang w:val="en-US"/>
        </w:rPr>
        <w:t>a</w:t>
      </w:r>
      <w:r w:rsidR="00A9246B" w:rsidRPr="00A9246B">
        <w:rPr>
          <w:sz w:val="24"/>
          <w:szCs w:val="24"/>
          <w:lang w:val="en-US"/>
        </w:rPr>
        <w:t xml:space="preserve">chers gain enormously from the possibility of studying at top language schools, something that was previously only possible for their richer students. An additional bonus is that by increasing teacher and student mobility and thus implicitly a better understanding of the different peoples and </w:t>
      </w:r>
      <w:r w:rsidR="00A7375A">
        <w:rPr>
          <w:sz w:val="24"/>
          <w:szCs w:val="24"/>
          <w:lang w:val="en-US"/>
        </w:rPr>
        <w:t>cultures of</w:t>
      </w:r>
      <w:r w:rsidR="00A9246B" w:rsidRPr="00A9246B">
        <w:rPr>
          <w:sz w:val="24"/>
          <w:szCs w:val="24"/>
          <w:lang w:val="en-US"/>
        </w:rPr>
        <w:t xml:space="preserve"> Europe, it serves to avoid national </w:t>
      </w:r>
      <w:proofErr w:type="spellStart"/>
      <w:r w:rsidR="00A9246B" w:rsidRPr="00A9246B">
        <w:rPr>
          <w:sz w:val="24"/>
          <w:szCs w:val="24"/>
          <w:lang w:val="en-US"/>
        </w:rPr>
        <w:t>mis</w:t>
      </w:r>
      <w:proofErr w:type="spellEnd"/>
      <w:r w:rsidR="00A9246B" w:rsidRPr="00A9246B">
        <w:rPr>
          <w:sz w:val="24"/>
          <w:szCs w:val="24"/>
          <w:lang w:val="en-US"/>
        </w:rPr>
        <w:t>-understandings and enhances harmony.</w:t>
      </w:r>
    </w:p>
    <w:p w:rsidR="00A9246B" w:rsidRPr="00884293" w:rsidRDefault="00A9246B" w:rsidP="000C6D21">
      <w:pPr>
        <w:tabs>
          <w:tab w:val="center" w:pos="4252"/>
        </w:tabs>
        <w:rPr>
          <w:b/>
          <w:sz w:val="24"/>
          <w:szCs w:val="24"/>
          <w:lang w:val="en-US"/>
        </w:rPr>
      </w:pPr>
      <w:r>
        <w:rPr>
          <w:sz w:val="24"/>
          <w:szCs w:val="24"/>
          <w:lang w:val="en-US"/>
        </w:rPr>
        <w:t xml:space="preserve">To maximize the up-take of these fantastic opportunities for teachers, </w:t>
      </w:r>
      <w:r w:rsidRPr="00A9246B">
        <w:rPr>
          <w:b/>
          <w:sz w:val="24"/>
          <w:szCs w:val="24"/>
          <w:lang w:val="en-US"/>
        </w:rPr>
        <w:t>Educational Consultants</w:t>
      </w:r>
      <w:r>
        <w:rPr>
          <w:sz w:val="24"/>
          <w:szCs w:val="24"/>
          <w:lang w:val="en-US"/>
        </w:rPr>
        <w:t xml:space="preserve"> have an important role in informing schools</w:t>
      </w:r>
      <w:r w:rsidR="00A7375A">
        <w:rPr>
          <w:sz w:val="24"/>
          <w:szCs w:val="24"/>
          <w:lang w:val="en-US"/>
        </w:rPr>
        <w:t xml:space="preserve"> of the possibilities</w:t>
      </w:r>
      <w:r>
        <w:rPr>
          <w:sz w:val="24"/>
          <w:szCs w:val="24"/>
          <w:lang w:val="en-US"/>
        </w:rPr>
        <w:t xml:space="preserve"> and helping overworked head teachers in presenting applications with a high probability of success. </w:t>
      </w:r>
      <w:bookmarkStart w:id="0" w:name="_GoBack"/>
      <w:bookmarkEnd w:id="0"/>
    </w:p>
    <w:sectPr w:rsidR="00A9246B" w:rsidRPr="008842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0679"/>
    <w:multiLevelType w:val="hybridMultilevel"/>
    <w:tmpl w:val="CDEA11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74573FE"/>
    <w:multiLevelType w:val="hybridMultilevel"/>
    <w:tmpl w:val="4E207ADA"/>
    <w:lvl w:ilvl="0" w:tplc="040A0001">
      <w:start w:val="1"/>
      <w:numFmt w:val="bullet"/>
      <w:lvlText w:val=""/>
      <w:lvlJc w:val="left"/>
      <w:pPr>
        <w:ind w:left="825" w:hanging="360"/>
      </w:pPr>
      <w:rPr>
        <w:rFonts w:ascii="Symbol" w:hAnsi="Symbol" w:hint="default"/>
      </w:rPr>
    </w:lvl>
    <w:lvl w:ilvl="1" w:tplc="040A0003" w:tentative="1">
      <w:start w:val="1"/>
      <w:numFmt w:val="bullet"/>
      <w:lvlText w:val="o"/>
      <w:lvlJc w:val="left"/>
      <w:pPr>
        <w:ind w:left="1545" w:hanging="360"/>
      </w:pPr>
      <w:rPr>
        <w:rFonts w:ascii="Courier New" w:hAnsi="Courier New" w:cs="Courier New" w:hint="default"/>
      </w:rPr>
    </w:lvl>
    <w:lvl w:ilvl="2" w:tplc="040A0005" w:tentative="1">
      <w:start w:val="1"/>
      <w:numFmt w:val="bullet"/>
      <w:lvlText w:val=""/>
      <w:lvlJc w:val="left"/>
      <w:pPr>
        <w:ind w:left="2265" w:hanging="360"/>
      </w:pPr>
      <w:rPr>
        <w:rFonts w:ascii="Wingdings" w:hAnsi="Wingdings" w:hint="default"/>
      </w:rPr>
    </w:lvl>
    <w:lvl w:ilvl="3" w:tplc="040A0001" w:tentative="1">
      <w:start w:val="1"/>
      <w:numFmt w:val="bullet"/>
      <w:lvlText w:val=""/>
      <w:lvlJc w:val="left"/>
      <w:pPr>
        <w:ind w:left="2985" w:hanging="360"/>
      </w:pPr>
      <w:rPr>
        <w:rFonts w:ascii="Symbol" w:hAnsi="Symbol" w:hint="default"/>
      </w:rPr>
    </w:lvl>
    <w:lvl w:ilvl="4" w:tplc="040A0003" w:tentative="1">
      <w:start w:val="1"/>
      <w:numFmt w:val="bullet"/>
      <w:lvlText w:val="o"/>
      <w:lvlJc w:val="left"/>
      <w:pPr>
        <w:ind w:left="3705" w:hanging="360"/>
      </w:pPr>
      <w:rPr>
        <w:rFonts w:ascii="Courier New" w:hAnsi="Courier New" w:cs="Courier New" w:hint="default"/>
      </w:rPr>
    </w:lvl>
    <w:lvl w:ilvl="5" w:tplc="040A0005" w:tentative="1">
      <w:start w:val="1"/>
      <w:numFmt w:val="bullet"/>
      <w:lvlText w:val=""/>
      <w:lvlJc w:val="left"/>
      <w:pPr>
        <w:ind w:left="4425" w:hanging="360"/>
      </w:pPr>
      <w:rPr>
        <w:rFonts w:ascii="Wingdings" w:hAnsi="Wingdings" w:hint="default"/>
      </w:rPr>
    </w:lvl>
    <w:lvl w:ilvl="6" w:tplc="040A0001" w:tentative="1">
      <w:start w:val="1"/>
      <w:numFmt w:val="bullet"/>
      <w:lvlText w:val=""/>
      <w:lvlJc w:val="left"/>
      <w:pPr>
        <w:ind w:left="5145" w:hanging="360"/>
      </w:pPr>
      <w:rPr>
        <w:rFonts w:ascii="Symbol" w:hAnsi="Symbol" w:hint="default"/>
      </w:rPr>
    </w:lvl>
    <w:lvl w:ilvl="7" w:tplc="040A0003" w:tentative="1">
      <w:start w:val="1"/>
      <w:numFmt w:val="bullet"/>
      <w:lvlText w:val="o"/>
      <w:lvlJc w:val="left"/>
      <w:pPr>
        <w:ind w:left="5865" w:hanging="360"/>
      </w:pPr>
      <w:rPr>
        <w:rFonts w:ascii="Courier New" w:hAnsi="Courier New" w:cs="Courier New" w:hint="default"/>
      </w:rPr>
    </w:lvl>
    <w:lvl w:ilvl="8" w:tplc="040A0005" w:tentative="1">
      <w:start w:val="1"/>
      <w:numFmt w:val="bullet"/>
      <w:lvlText w:val=""/>
      <w:lvlJc w:val="left"/>
      <w:pPr>
        <w:ind w:left="6585" w:hanging="360"/>
      </w:pPr>
      <w:rPr>
        <w:rFonts w:ascii="Wingdings" w:hAnsi="Wingdings" w:hint="default"/>
      </w:rPr>
    </w:lvl>
  </w:abstractNum>
  <w:abstractNum w:abstractNumId="2" w15:restartNumberingAfterBreak="0">
    <w:nsid w:val="70C8022E"/>
    <w:multiLevelType w:val="hybridMultilevel"/>
    <w:tmpl w:val="BE8CB0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46"/>
    <w:rsid w:val="000339BB"/>
    <w:rsid w:val="000C6D21"/>
    <w:rsid w:val="000E28C4"/>
    <w:rsid w:val="00105CC3"/>
    <w:rsid w:val="002C2846"/>
    <w:rsid w:val="002F61D1"/>
    <w:rsid w:val="00337170"/>
    <w:rsid w:val="003776B4"/>
    <w:rsid w:val="003D6BA3"/>
    <w:rsid w:val="003F1F8B"/>
    <w:rsid w:val="004276FB"/>
    <w:rsid w:val="004B7650"/>
    <w:rsid w:val="00594A0C"/>
    <w:rsid w:val="00637BAD"/>
    <w:rsid w:val="00754488"/>
    <w:rsid w:val="00780810"/>
    <w:rsid w:val="00814CFE"/>
    <w:rsid w:val="00884293"/>
    <w:rsid w:val="00A7375A"/>
    <w:rsid w:val="00A9246B"/>
    <w:rsid w:val="00AB64AF"/>
    <w:rsid w:val="00AF198B"/>
    <w:rsid w:val="00B748B3"/>
    <w:rsid w:val="00B8089A"/>
    <w:rsid w:val="00E40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C911E-E970-4E5E-8777-C22478B0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BA3"/>
    <w:pPr>
      <w:ind w:left="720"/>
      <w:contextualSpacing/>
    </w:pPr>
  </w:style>
  <w:style w:type="paragraph" w:styleId="Textodeglobo">
    <w:name w:val="Balloon Text"/>
    <w:basedOn w:val="Normal"/>
    <w:link w:val="TextodegloboCar"/>
    <w:uiPriority w:val="99"/>
    <w:semiHidden/>
    <w:unhideWhenUsed/>
    <w:rsid w:val="00814C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5446</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Burger</dc:creator>
  <cp:lastModifiedBy>Juan José González | Malaca Instituto</cp:lastModifiedBy>
  <cp:revision>3</cp:revision>
  <dcterms:created xsi:type="dcterms:W3CDTF">2016-06-02T08:41:00Z</dcterms:created>
  <dcterms:modified xsi:type="dcterms:W3CDTF">2020-09-30T07:59:00Z</dcterms:modified>
</cp:coreProperties>
</file>